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305E"/>
          <w:sz w:val="44"/>
        </w:rPr>
        <w:t>Investment Committee Memorandum</w:t>
      </w:r>
    </w:p>
    <w:p>
      <w:r>
        <w:rPr>
          <w:i/>
          <w:color w:val="5B6475"/>
        </w:rPr>
        <w:t>Buy-side acquisition memo for commercial real estate. Replace every [bracketed prompt] with deal-specific content and delete the prompts you do not need. Section order follows how a committee reads: location, deal, property, plan, returns, market.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592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7056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Detail</w:t>
            </w:r>
          </w:p>
        </w:tc>
      </w:tr>
      <w:tr>
        <w:tc>
          <w:tcPr>
            <w:tcW w:type="dxa" w:w="2592"/>
          </w:tcPr>
          <w:p>
            <w:pPr>
              <w:spacing w:after="20"/>
            </w:pPr>
            <w:r/>
            <w:r>
              <w:rPr>
                <w:sz w:val="19"/>
              </w:rPr>
              <w:t>Property</w:t>
            </w:r>
          </w:p>
        </w:tc>
        <w:tc>
          <w:tcPr>
            <w:tcW w:type="dxa" w:w="70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[Name, address]</w:t>
            </w:r>
          </w:p>
        </w:tc>
      </w:tr>
      <w:tr>
        <w:tc>
          <w:tcPr>
            <w:tcW w:type="dxa" w:w="2592"/>
          </w:tcPr>
          <w:p>
            <w:pPr>
              <w:spacing w:after="20"/>
            </w:pPr>
            <w:r/>
            <w:r>
              <w:rPr>
                <w:sz w:val="19"/>
              </w:rPr>
              <w:t>Deal team</w:t>
            </w:r>
          </w:p>
        </w:tc>
        <w:tc>
          <w:tcPr>
            <w:tcW w:type="dxa" w:w="70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[Names]</w:t>
            </w:r>
          </w:p>
        </w:tc>
      </w:tr>
      <w:tr>
        <w:tc>
          <w:tcPr>
            <w:tcW w:type="dxa" w:w="2592"/>
          </w:tcPr>
          <w:p>
            <w:pPr>
              <w:spacing w:after="20"/>
            </w:pPr>
            <w:r/>
            <w:r>
              <w:rPr>
                <w:sz w:val="19"/>
              </w:rPr>
              <w:t>IC date</w:t>
            </w:r>
          </w:p>
        </w:tc>
        <w:tc>
          <w:tcPr>
            <w:tcW w:type="dxa" w:w="70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[Date]</w:t>
            </w:r>
          </w:p>
        </w:tc>
      </w:tr>
      <w:tr>
        <w:tc>
          <w:tcPr>
            <w:tcW w:type="dxa" w:w="2592"/>
          </w:tcPr>
          <w:p>
            <w:pPr>
              <w:spacing w:after="20"/>
            </w:pPr>
            <w:r/>
            <w:r>
              <w:rPr>
                <w:sz w:val="19"/>
              </w:rPr>
              <w:t>Decision requested</w:t>
            </w:r>
          </w:p>
        </w:tc>
        <w:tc>
          <w:tcPr>
            <w:tcW w:type="dxa" w:w="70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[Approve, approve with conditions, authorize LOI, release deposit]</w:t>
            </w:r>
          </w:p>
        </w:tc>
      </w:tr>
      <w:tr>
        <w:tc>
          <w:tcPr>
            <w:tcW w:type="dxa" w:w="2592"/>
          </w:tcPr>
          <w:p>
            <w:pPr>
              <w:spacing w:after="20"/>
            </w:pPr>
            <w:r/>
            <w:r>
              <w:rPr>
                <w:sz w:val="19"/>
              </w:rPr>
              <w:t>Recommendation</w:t>
            </w:r>
          </w:p>
        </w:tc>
        <w:tc>
          <w:tcPr>
            <w:tcW w:type="dxa" w:w="70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[Approve / decline / approve with conditions, stated in one sentence. Restate at the end of the memo.]</w:t>
            </w:r>
          </w:p>
        </w:tc>
      </w:tr>
    </w:tbl>
    <w:p>
      <w:pPr>
        <w:spacing w:after="40"/>
      </w:pPr>
    </w:p>
    <w:p>
      <w:pPr>
        <w:pStyle w:val="Heading1"/>
      </w:pPr>
      <w:r>
        <w:t>1. Location Visuals</w:t>
      </w:r>
    </w:p>
    <w:p>
      <w:r>
        <w:rPr>
          <w:i/>
          <w:color w:val="5B6475"/>
        </w:rPr>
        <w:t>[Insert: (a) regional and submarket map showing the property and its surroundings; (b) aerial photo(s) with nearby demand drivers, competing properties and transport access labelled; (c) site plan with tenant suites or buildings marked.]</w:t>
      </w:r>
    </w:p>
    <w:p>
      <w:pPr>
        <w:pStyle w:val="Heading1"/>
      </w:pPr>
      <w:r>
        <w:t>2. Transaction Overview</w:t>
      </w:r>
    </w:p>
    <w:p>
      <w:r>
        <w:rPr>
          <w:i/>
          <w:color w:val="5B6475"/>
        </w:rPr>
        <w:t>[Put the deal on one page. Fill every row; mark a metric "n/a" rather than deleting it.]</w:t>
      </w:r>
    </w:p>
    <w:p>
      <w:pPr>
        <w:pStyle w:val="Heading3"/>
      </w:pPr>
      <w:r>
        <w:t>Size and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744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5904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Detail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Purchase price</w:t>
            </w:r>
          </w:p>
        </w:tc>
        <w:tc>
          <w:tcPr>
            <w:tcW w:type="dxa" w:w="59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[$]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Price per SF</w:t>
            </w:r>
          </w:p>
        </w:tc>
        <w:tc>
          <w:tcPr>
            <w:tcW w:type="dxa" w:w="59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[$/SF]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Building size and construction type</w:t>
            </w:r>
          </w:p>
        </w:tc>
        <w:tc>
          <w:tcPr>
            <w:tcW w:type="dxa" w:w="59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[SF, construction, year built]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Land / footprint</w:t>
            </w:r>
          </w:p>
        </w:tc>
        <w:tc>
          <w:tcPr>
            <w:tcW w:type="dxa" w:w="59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[acres / SF]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Occupancy at underwriting</w:t>
            </w:r>
          </w:p>
        </w:tc>
        <w:tc>
          <w:tcPr>
            <w:tcW w:type="dxa" w:w="59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Seller and process</w:t>
            </w:r>
          </w:p>
        </w:tc>
        <w:tc>
          <w:tcPr>
            <w:tcW w:type="dxa" w:w="59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[Off-market / marketed; seller type]</w:t>
            </w:r>
          </w:p>
        </w:tc>
      </w:tr>
    </w:tbl>
    <w:p>
      <w:pPr>
        <w:spacing w:after="40"/>
      </w:pPr>
    </w:p>
    <w:p>
      <w:pPr>
        <w:pStyle w:val="Heading3"/>
      </w:pPr>
      <w:r>
        <w:t>Primary returns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744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728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Base case</w:t>
            </w:r>
          </w:p>
        </w:tc>
        <w:tc>
          <w:tcPr>
            <w:tcW w:type="dxa" w:w="4176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Total investment (equity + debt)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[$]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[Include closing costs and reserves]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Going-in cap rate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[On what NOI: in-place, year 1, stabilized?]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Unlevered IRR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[Hold period]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Levered IRR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Real IRR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[After inflation; state the inflation assumption]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Return on equity (average annual)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9"/>
              </w:rPr>
              <w:t>Share of total return from cash flow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[Remainder depends on the exit. State it.]</w:t>
            </w:r>
          </w:p>
        </w:tc>
      </w:tr>
    </w:tbl>
    <w:p>
      <w:pPr>
        <w:spacing w:after="40"/>
      </w:pPr>
    </w:p>
    <w:p>
      <w:pPr>
        <w:pStyle w:val="Heading1"/>
      </w:pPr>
      <w:r>
        <w:t>3. Property Overview</w:t>
      </w:r>
    </w:p>
    <w:p>
      <w:pPr>
        <w:pStyle w:val="Heading3"/>
      </w:pPr>
      <w:r>
        <w:t>Building</w:t>
      </w:r>
    </w:p>
    <w:p>
      <w:r>
        <w:rPr>
          <w:i/>
          <w:color w:val="5B6475"/>
        </w:rPr>
        <w:t>[Specifications and systems: size, floors or bays, year built and renovated, structure, roof, HVAC, elevators, life safety, parking, site. Note anything the property condition assessment flagged and its estimated cost.]</w:t>
      </w:r>
    </w:p>
    <w:p>
      <w:pPr>
        <w:pStyle w:val="Heading3"/>
      </w:pPr>
      <w:r>
        <w:t>Sources and uses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880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Sources</w:t>
            </w:r>
          </w:p>
        </w:tc>
        <w:tc>
          <w:tcPr>
            <w:tcW w:type="dxa" w:w="1728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Amount ($)</w:t>
            </w:r>
          </w:p>
        </w:tc>
        <w:tc>
          <w:tcPr>
            <w:tcW w:type="dxa" w:w="3456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Uses</w:t>
            </w:r>
          </w:p>
        </w:tc>
        <w:tc>
          <w:tcPr>
            <w:tcW w:type="dxa" w:w="1584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Amount ($)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[Senior debt]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  <w:tc>
          <w:tcPr>
            <w:tcW w:type="dxa" w:w="34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[Purchase price]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[Equity: sponsor / JV partner]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  <w:tc>
          <w:tcPr>
            <w:tcW w:type="dxa" w:w="34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[Closing costs]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[Other]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  <w:tc>
          <w:tcPr>
            <w:tcW w:type="dxa" w:w="34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[Capital reserves, TI and LC at closing]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[Total sources]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  <w:tc>
          <w:tcPr>
            <w:tcW w:type="dxa" w:w="345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[Total uses]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</w:tbl>
    <w:p>
      <w:pPr>
        <w:spacing w:after="40"/>
      </w:pPr>
    </w:p>
    <w:p>
      <w:r>
        <w:rPr>
          <w:i/>
          <w:color w:val="5B6475"/>
        </w:rPr>
        <w:t>[Check: total sources equal total uses.]</w:t>
      </w:r>
    </w:p>
    <w:p>
      <w:pPr>
        <w:pStyle w:val="Heading3"/>
      </w:pPr>
      <w:r>
        <w:t>Transaction structure</w:t>
      </w:r>
    </w:p>
    <w:p>
      <w:pPr>
        <w:pStyle w:val="ListBullet"/>
      </w:pPr>
      <w:r>
        <w:rPr>
          <w:i/>
          <w:color w:val="5B6475"/>
        </w:rPr>
        <w:t>[Investment terms and timing: PSA date, deposit and go-hard dates, diligence period, closing date]</w:t>
      </w:r>
    </w:p>
    <w:p>
      <w:pPr>
        <w:pStyle w:val="ListBullet"/>
      </w:pPr>
      <w:r>
        <w:rPr>
          <w:i/>
          <w:color w:val="5B6475"/>
        </w:rPr>
        <w:t>[Joint venture terms, if any: partners, promote, governance, major decisions]</w:t>
      </w:r>
    </w:p>
    <w:p>
      <w:pPr>
        <w:pStyle w:val="ListBullet"/>
      </w:pPr>
      <w:r>
        <w:rPr>
          <w:i/>
          <w:color w:val="5B6475"/>
        </w:rPr>
        <w:t>[Financing terms: lender, proceeds, rate, term, amortization, recourse, and how they will be handled at refinance or exit]</w:t>
      </w:r>
    </w:p>
    <w:p>
      <w:pPr>
        <w:pStyle w:val="Heading1"/>
      </w:pPr>
      <w:r>
        <w:t>4. Business Plan and Key Investment Considerations</w:t>
      </w:r>
    </w:p>
    <w:p>
      <w:r>
        <w:rPr>
          <w:i/>
          <w:color w:val="5B6475"/>
        </w:rPr>
        <w:t>[Describe the plan in a few sentences: what you are buying, what you will change, over what period, and what it costs.]</w:t>
      </w:r>
    </w:p>
    <w:p>
      <w:pPr>
        <w:pStyle w:val="Heading3"/>
      </w:pPr>
      <w:r>
        <w:t>Strengths</w:t>
      </w:r>
    </w:p>
    <w:p>
      <w:pPr>
        <w:pStyle w:val="ListBullet"/>
      </w:pPr>
      <w:r>
        <w:rPr>
          <w:i/>
          <w:color w:val="5B6475"/>
        </w:rPr>
        <w:t>[Strength 1, with the number that supports it]</w:t>
      </w:r>
    </w:p>
    <w:p>
      <w:pPr>
        <w:pStyle w:val="ListBullet"/>
      </w:pPr>
      <w:r>
        <w:rPr>
          <w:i/>
          <w:color w:val="5B6475"/>
        </w:rPr>
        <w:t>[Strength 2]</w:t>
      </w:r>
    </w:p>
    <w:p>
      <w:pPr>
        <w:pStyle w:val="ListBullet"/>
      </w:pPr>
      <w:r>
        <w:rPr>
          <w:i/>
          <w:color w:val="5B6475"/>
        </w:rPr>
        <w:t>[Strength 3]</w:t>
      </w:r>
    </w:p>
    <w:p>
      <w:pPr>
        <w:pStyle w:val="Heading3"/>
      </w:pPr>
      <w:r>
        <w:t>Weaknesses and mitigants</w:t>
      </w:r>
    </w:p>
    <w:p>
      <w:r>
        <w:rPr>
          <w:i/>
          <w:color w:val="5B6475"/>
        </w:rPr>
        <w:t>[Every weakness needs a mitigant, and every mitigant should be something that is in the numbers or the deal terms, not a restatement of the weakness. If there is no real mitigant, write "none" and say how the price or structure accounts for it.]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168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Weakness</w:t>
            </w:r>
          </w:p>
        </w:tc>
        <w:tc>
          <w:tcPr>
            <w:tcW w:type="dxa" w:w="4176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Mitigant</w:t>
            </w:r>
          </w:p>
        </w:tc>
        <w:tc>
          <w:tcPr>
            <w:tcW w:type="dxa" w:w="2304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Where it shows in the model</w:t>
            </w:r>
          </w:p>
        </w:tc>
      </w:tr>
      <w:tr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Largest tenant lease expires in year 3]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Renewal, vacate and roll-to-market scenarios run separately; downtime and TI/LC reserved]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[Scenario table, line item]</w:t>
            </w:r>
          </w:p>
        </w:tc>
      </w:tr>
      <w:tr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Taxes reassess on sale]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Underwritten at post-closing assessment]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[Operating expenses]</w:t>
            </w:r>
          </w:p>
        </w:tc>
      </w:tr>
      <w:tr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Roof near end of life]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Replacement in capital budget; price adjusted]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[Capital plan]</w:t>
            </w:r>
          </w:p>
        </w:tc>
      </w:tr>
      <w:tr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  <w:tc>
          <w:tcPr>
            <w:tcW w:type="dxa" w:w="4176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pStyle w:val="Heading3"/>
      </w:pPr>
      <w:r>
        <w:t>Open diligence items and legal issues</w:t>
      </w:r>
    </w:p>
    <w:p>
      <w:r>
        <w:rPr>
          <w:i/>
          <w:color w:val="5B6475"/>
        </w:rPr>
        <w:t>[List anything unresolved at the time of IC: estoppels outstanding, title objections, environmental, lender consents. A deal reaching IC with open issues is the most common reason for delay.]</w:t>
      </w:r>
    </w:p>
    <w:p>
      <w:pPr>
        <w:pStyle w:val="Heading1"/>
      </w:pPr>
      <w:r>
        <w:t>5. Cash Flow and Returns</w:t>
      </w:r>
    </w:p>
    <w:p>
      <w:pPr>
        <w:pStyle w:val="Heading3"/>
      </w:pPr>
      <w:r>
        <w:t>Underwriting assumptions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456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Assumption</w:t>
            </w:r>
          </w:p>
        </w:tc>
        <w:tc>
          <w:tcPr>
            <w:tcW w:type="dxa" w:w="2304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3888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Source / support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Hold period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[years]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Market rent growth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 per year]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[Market section evidence]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Expense growth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 per year]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[Operating statements]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Vacancy and credit loss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Lease-up: downtime, free rent, TI, LC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[months, $/SF]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[Leasing comps]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Exit cap rate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[Must not be below going-in without stated reason]</w:t>
            </w:r>
          </w:p>
        </w:tc>
      </w:tr>
      <w:tr>
        <w:tc>
          <w:tcPr>
            <w:tcW w:type="dxa" w:w="3456"/>
          </w:tcPr>
          <w:p>
            <w:pPr>
              <w:spacing w:after="20"/>
            </w:pPr>
            <w:r/>
            <w:r>
              <w:rPr>
                <w:sz w:val="19"/>
              </w:rPr>
              <w:t>Financing</w:t>
            </w:r>
          </w:p>
        </w:tc>
        <w:tc>
          <w:tcPr>
            <w:tcW w:type="dxa" w:w="2304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[LTV, rate, term]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[Term sheet]</w:t>
            </w:r>
          </w:p>
        </w:tc>
      </w:tr>
    </w:tbl>
    <w:p>
      <w:pPr>
        <w:spacing w:after="40"/>
      </w:pPr>
    </w:p>
    <w:p>
      <w:pPr>
        <w:pStyle w:val="Heading3"/>
      </w:pPr>
      <w:r>
        <w:t>Annual cash flows</w:t>
      </w:r>
    </w:p>
    <w:p>
      <w:r>
        <w:rPr>
          <w:i/>
          <w:color w:val="5B6475"/>
        </w:rPr>
        <w:t>[Paste the annual cash flow from the model: one column per year. Revenue, recoveries, vacancy, operating expenses, NOI, capital, debt service, net cash flow.]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>
        <w:tc>
          <w:tcPr>
            <w:tcW w:type="dxa" w:w="2304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Line item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1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2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3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4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5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6</w:t>
            </w:r>
          </w:p>
        </w:tc>
        <w:tc>
          <w:tcPr>
            <w:tcW w:type="dxa" w:w="1037"/>
            <w:shd w:val="clear" w:color="auto" w:fill="1F305E"/>
          </w:tcPr>
          <w:p>
            <w:r/>
            <w:r>
              <w:rPr>
                <w:b/>
                <w:color w:val="FFFFFF"/>
                <w:sz w:val="17"/>
              </w:rPr>
              <w:t>Year 7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Base rent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Recoveries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Vacancy / credit loss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Operating expenses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Net operating income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TI, LC and capital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Debt service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7"/>
              </w:rPr>
              <w:t>Net cash flow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  <w:tc>
          <w:tcPr>
            <w:tcW w:type="dxa" w:w="1037"/>
          </w:tcPr>
          <w:p>
            <w:pPr>
              <w:spacing w:after="20"/>
            </w:pPr>
            <w:r/>
            <w:r>
              <w:rPr>
                <w:i/>
                <w:color w:val="5B6475"/>
                <w:sz w:val="17"/>
              </w:rPr>
              <w:t>[ ]</w:t>
            </w:r>
          </w:p>
        </w:tc>
      </w:tr>
    </w:tbl>
    <w:p>
      <w:pPr>
        <w:spacing w:after="40"/>
      </w:pPr>
    </w:p>
    <w:p>
      <w:pPr>
        <w:pStyle w:val="Heading3"/>
      </w:pPr>
      <w:r>
        <w:t>Growth rates and lease-up assumptions</w:t>
      </w:r>
    </w:p>
    <w:p>
      <w:r>
        <w:rPr>
          <w:i/>
          <w:color w:val="5B6475"/>
        </w:rPr>
        <w:t>[State rent growth by year or by tenant, and lease-up assumptions for vacant and rolling space: probability of renewal, downtime, free rent, TI and LC.]</w:t>
      </w:r>
    </w:p>
    <w:p>
      <w:pPr>
        <w:pStyle w:val="Heading3"/>
      </w:pPr>
      <w:r>
        <w:t>Scenarios and sensitivities</w:t>
      </w:r>
    </w:p>
    <w:p>
      <w:r>
        <w:rPr>
          <w:i/>
          <w:color w:val="5B6475"/>
        </w:rPr>
        <w:t>[Show the base case first, then how returns move under stress. Include a tenant scenario for every significant rollover: renew, vacate, roll to market.]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2880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Scenario</w:t>
            </w:r>
          </w:p>
        </w:tc>
        <w:tc>
          <w:tcPr>
            <w:tcW w:type="dxa" w:w="1440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Unlevered IRR</w:t>
            </w:r>
          </w:p>
        </w:tc>
        <w:tc>
          <w:tcPr>
            <w:tcW w:type="dxa" w:w="1440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Levered IRR</w:t>
            </w:r>
          </w:p>
        </w:tc>
        <w:tc>
          <w:tcPr>
            <w:tcW w:type="dxa" w:w="1440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Equity multiple</w:t>
            </w:r>
          </w:p>
        </w:tc>
        <w:tc>
          <w:tcPr>
            <w:tcW w:type="dxa" w:w="2448"/>
            <w:shd w:val="clear" w:color="auto" w:fill="1F305E"/>
          </w:tcPr>
          <w:p>
            <w:r/>
            <w:r>
              <w:rPr>
                <w:b/>
                <w:color w:val="FFFFFF"/>
                <w:sz w:val="19"/>
              </w:rPr>
              <w:t>What changes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sz w:val="19"/>
              </w:rPr>
              <w:t>Base case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[x]</w:t>
            </w:r>
          </w:p>
        </w:tc>
        <w:tc>
          <w:tcPr>
            <w:tcW w:type="dxa" w:w="244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sz w:val="19"/>
              </w:rPr>
              <w:t>Downside: higher vacancy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[x]</w:t>
            </w:r>
          </w:p>
        </w:tc>
        <w:tc>
          <w:tcPr>
            <w:tcW w:type="dxa" w:w="244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[e.g. +5 points vacancy]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sz w:val="19"/>
              </w:rPr>
              <w:t>Downside: exit cap +[ ] bps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[x]</w:t>
            </w:r>
          </w:p>
        </w:tc>
        <w:tc>
          <w:tcPr>
            <w:tcW w:type="dxa" w:w="244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sz w:val="19"/>
              </w:rPr>
              <w:t>Largest tenant vacates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[x]</w:t>
            </w:r>
          </w:p>
        </w:tc>
        <w:tc>
          <w:tcPr>
            <w:tcW w:type="dxa" w:w="244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[Downtime, TI, LC, re-lease rent]</w:t>
            </w:r>
          </w:p>
        </w:tc>
      </w:tr>
      <w:tr>
        <w:tc>
          <w:tcPr>
            <w:tcW w:type="dxa" w:w="2880"/>
          </w:tcPr>
          <w:p>
            <w:pPr>
              <w:spacing w:after="20"/>
            </w:pPr>
            <w:r/>
            <w:r>
              <w:rPr>
                <w:sz w:val="19"/>
              </w:rPr>
              <w:t>Largest tenant renews at market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[%]</w:t>
            </w:r>
          </w:p>
        </w:tc>
        <w:tc>
          <w:tcPr>
            <w:tcW w:type="dxa" w:w="1440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[x]</w:t>
            </w:r>
          </w:p>
        </w:tc>
        <w:tc>
          <w:tcPr>
            <w:tcW w:type="dxa" w:w="2448"/>
          </w:tcPr>
          <w:p>
            <w:pPr>
              <w:spacing w:after="20"/>
            </w:pPr>
            <w:r/>
            <w:r>
              <w:rPr>
                <w:i/>
                <w:color w:val="5B6475"/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pStyle w:val="Heading3"/>
      </w:pPr>
      <w:r>
        <w:t>Market leasing assumptions</w:t>
      </w:r>
    </w:p>
    <w:p>
      <w:r>
        <w:rPr>
          <w:i/>
          <w:color w:val="5B6475"/>
        </w:rPr>
        <w:t>[Market rent, concessions, TI and LC packages by space type, with the comps behind them.]</w:t>
      </w:r>
    </w:p>
    <w:p>
      <w:pPr>
        <w:pStyle w:val="Heading1"/>
      </w:pPr>
      <w:r>
        <w:t>6. Market</w:t>
      </w:r>
    </w:p>
    <w:p>
      <w:pPr>
        <w:pStyle w:val="ListBullet"/>
      </w:pPr>
      <w:r>
        <w:rPr>
          <w:i/>
          <w:color w:val="5B6475"/>
        </w:rPr>
        <w:t>[Lease comps: tenant, size, term, rent, concessions, date]</w:t>
      </w:r>
    </w:p>
    <w:p>
      <w:pPr>
        <w:pStyle w:val="ListBullet"/>
      </w:pPr>
      <w:r>
        <w:rPr>
          <w:i/>
          <w:color w:val="5B6475"/>
        </w:rPr>
        <w:t>[Sale comps and land comps: price, price per SF, cap rate, date]</w:t>
      </w:r>
    </w:p>
    <w:p>
      <w:pPr>
        <w:pStyle w:val="ListBullet"/>
      </w:pPr>
      <w:r>
        <w:rPr>
          <w:i/>
          <w:color w:val="5B6475"/>
        </w:rPr>
        <w:t>[New supply: projects under construction or planned that compete]</w:t>
      </w:r>
    </w:p>
    <w:p>
      <w:pPr>
        <w:pStyle w:val="ListBullet"/>
      </w:pPr>
      <w:r>
        <w:rPr>
          <w:i/>
          <w:color w:val="5B6475"/>
        </w:rPr>
        <w:t>[Market overview and submarket overview: vacancy, absorption, rent trend]</w:t>
      </w:r>
    </w:p>
    <w:p>
      <w:pPr>
        <w:pStyle w:val="ListBullet"/>
      </w:pPr>
      <w:r>
        <w:rPr>
          <w:i/>
          <w:color w:val="5B6475"/>
        </w:rPr>
        <w:t>[Specialized research, including any that does not support the investment]</w:t>
      </w:r>
    </w:p>
    <w:p>
      <w:r>
        <w:rPr>
          <w:i/>
          <w:color w:val="5B6475"/>
        </w:rPr>
        <w:t>[Date-stamp every data source. A market section that shows only supportive evidence is not credible to a committee.]</w:t>
      </w:r>
    </w:p>
    <w:p>
      <w:pPr>
        <w:pStyle w:val="Heading1"/>
      </w:pPr>
      <w:r>
        <w:t>Recommendation</w:t>
      </w:r>
    </w:p>
    <w:p>
      <w:r>
        <w:rPr>
          <w:i/>
          <w:color w:val="5B6475"/>
        </w:rPr>
        <w:t>[Restate the recommendation, the decision requested, the conditions and the date it is needed by.]</w:t>
      </w:r>
    </w:p>
    <w:p>
      <w:pPr>
        <w:pStyle w:val="Heading1"/>
      </w:pPr>
      <w:r>
        <w:t>Appendices</w:t>
      </w:r>
    </w:p>
    <w:p>
      <w:pPr>
        <w:pStyle w:val="ListBullet"/>
      </w:pPr>
      <w:r>
        <w:rPr>
          <w:i/>
          <w:color w:val="5B6475"/>
        </w:rPr>
        <w:t>[Rent roll detail]</w:t>
      </w:r>
    </w:p>
    <w:p>
      <w:pPr>
        <w:pStyle w:val="ListBullet"/>
      </w:pPr>
      <w:r>
        <w:rPr>
          <w:i/>
          <w:color w:val="5B6475"/>
        </w:rPr>
        <w:t>[Historical and pro forma financials]</w:t>
      </w:r>
    </w:p>
    <w:p>
      <w:pPr>
        <w:pStyle w:val="ListBullet"/>
      </w:pPr>
      <w:r>
        <w:rPr>
          <w:i/>
          <w:color w:val="5B6475"/>
        </w:rPr>
        <w:t>[Property condition, environmental, title and survey summaries]</w:t>
      </w:r>
    </w:p>
    <w:p>
      <w:pPr>
        <w:pStyle w:val="ListBullet"/>
      </w:pPr>
      <w:r>
        <w:rPr>
          <w:i/>
          <w:color w:val="5B6475"/>
        </w:rPr>
        <w:t>[Lease abstracts for material tenants]</w:t>
      </w:r>
    </w:p>
    <w:sectPr w:rsidR="00FC693F" w:rsidRPr="0006063C" w:rsidSect="00034616">
      <w:footerReference w:type="default" r:id="rId9"/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B6475"/>
        <w:sz w:val="16"/>
      </w:rPr>
      <w:t>morainecre.com  |  IC memo template. Free to use. Section order is a starting skeleton; adapt it to your committee.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F30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1F305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1F305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Committee Memorandum Template</dc:title>
  <dc:subject/>
  <dc:creator>Moraine (morainecre.com)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